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D73" w:rsidRPr="001F479D" w:rsidRDefault="00CF10C6" w:rsidP="001557CD">
      <w:pPr>
        <w:spacing w:line="480" w:lineRule="auto"/>
        <w:contextualSpacing/>
        <w:jc w:val="center"/>
        <w:rPr>
          <w:b/>
          <w:sz w:val="28"/>
          <w:szCs w:val="28"/>
        </w:rPr>
      </w:pPr>
      <w:r w:rsidRPr="001F479D">
        <w:rPr>
          <w:b/>
          <w:sz w:val="28"/>
          <w:szCs w:val="28"/>
        </w:rPr>
        <w:t>B</w:t>
      </w:r>
      <w:r w:rsidR="00D02B44" w:rsidRPr="001F479D">
        <w:rPr>
          <w:b/>
          <w:sz w:val="28"/>
          <w:szCs w:val="28"/>
        </w:rPr>
        <w:t>atch Production of Benzaldehyde Derivatives</w:t>
      </w:r>
    </w:p>
    <w:p w:rsidR="00D02B44" w:rsidRDefault="00D02B44" w:rsidP="001557CD">
      <w:pPr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Abstract</w:t>
      </w:r>
    </w:p>
    <w:p w:rsidR="00D02B44" w:rsidRDefault="001F479D" w:rsidP="001557C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This is a</w:t>
      </w:r>
      <w:r w:rsidR="006D500F" w:rsidRPr="006D500F">
        <w:rPr>
          <w:sz w:val="24"/>
          <w:szCs w:val="24"/>
        </w:rPr>
        <w:t xml:space="preserve"> design </w:t>
      </w:r>
      <w:r>
        <w:rPr>
          <w:sz w:val="24"/>
          <w:szCs w:val="24"/>
        </w:rPr>
        <w:t>for</w:t>
      </w:r>
      <w:r w:rsidR="0025140D">
        <w:rPr>
          <w:sz w:val="24"/>
          <w:szCs w:val="24"/>
        </w:rPr>
        <w:t xml:space="preserve"> batch </w:t>
      </w:r>
      <w:r w:rsidR="006D500F" w:rsidRPr="006D500F">
        <w:rPr>
          <w:sz w:val="24"/>
          <w:szCs w:val="24"/>
        </w:rPr>
        <w:t xml:space="preserve">production </w:t>
      </w:r>
      <w:r w:rsidR="00257AB9">
        <w:rPr>
          <w:sz w:val="24"/>
          <w:szCs w:val="24"/>
        </w:rPr>
        <w:t xml:space="preserve">process </w:t>
      </w:r>
      <w:r w:rsidR="0025140D">
        <w:rPr>
          <w:sz w:val="24"/>
          <w:szCs w:val="24"/>
        </w:rPr>
        <w:t xml:space="preserve">of benzaldehyde, benzoin, and cinnamaldehyde. </w:t>
      </w:r>
      <w:r w:rsidR="006D500F" w:rsidRPr="006D500F">
        <w:rPr>
          <w:sz w:val="24"/>
          <w:szCs w:val="24"/>
        </w:rPr>
        <w:t xml:space="preserve"> </w:t>
      </w:r>
      <w:r w:rsidR="00257AB9">
        <w:rPr>
          <w:sz w:val="24"/>
          <w:szCs w:val="24"/>
        </w:rPr>
        <w:t>2,500 tonne</w:t>
      </w:r>
      <w:r w:rsidR="004B3312">
        <w:rPr>
          <w:sz w:val="24"/>
          <w:szCs w:val="24"/>
        </w:rPr>
        <w:t>/y</w:t>
      </w:r>
      <w:r w:rsidR="00257AB9">
        <w:rPr>
          <w:sz w:val="24"/>
          <w:szCs w:val="24"/>
        </w:rPr>
        <w:t xml:space="preserve"> of benzoin and 500 tonne of cinnamaldehyde are to be sold as product, while 3,500 tonne</w:t>
      </w:r>
      <w:r w:rsidR="004B3312">
        <w:rPr>
          <w:sz w:val="24"/>
          <w:szCs w:val="24"/>
        </w:rPr>
        <w:t>/y</w:t>
      </w:r>
      <w:r w:rsidR="003C2E60">
        <w:rPr>
          <w:sz w:val="24"/>
          <w:szCs w:val="24"/>
        </w:rPr>
        <w:t xml:space="preserve"> of benzaldehyde will be sold solely as a raw material for benzoin and cinnamaldehyde. </w:t>
      </w:r>
    </w:p>
    <w:p w:rsidR="001F479D" w:rsidRDefault="001F479D" w:rsidP="001557CD">
      <w:pPr>
        <w:ind w:firstLine="720"/>
        <w:jc w:val="both"/>
        <w:rPr>
          <w:sz w:val="24"/>
          <w:szCs w:val="24"/>
        </w:rPr>
      </w:pPr>
    </w:p>
    <w:p w:rsidR="00000D0B" w:rsidRDefault="00000D0B" w:rsidP="001557C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Batch</w:t>
      </w:r>
      <w:r w:rsidR="00A71C68">
        <w:rPr>
          <w:sz w:val="24"/>
          <w:szCs w:val="24"/>
        </w:rPr>
        <w:t xml:space="preserve"> schedules were developed for each product. Benzaldehyde </w:t>
      </w:r>
      <w:r w:rsidR="0025298D">
        <w:rPr>
          <w:sz w:val="24"/>
          <w:szCs w:val="24"/>
        </w:rPr>
        <w:t>is to</w:t>
      </w:r>
      <w:r w:rsidR="00A71C68">
        <w:rPr>
          <w:sz w:val="24"/>
          <w:szCs w:val="24"/>
        </w:rPr>
        <w:t xml:space="preserve"> be produced as a semi-batch process throughout the year on its own line. </w:t>
      </w:r>
      <w:r w:rsidR="0011728A">
        <w:rPr>
          <w:sz w:val="24"/>
          <w:szCs w:val="24"/>
        </w:rPr>
        <w:t xml:space="preserve">A rate of </w:t>
      </w:r>
      <w:r w:rsidR="00A71C68">
        <w:rPr>
          <w:sz w:val="24"/>
          <w:szCs w:val="24"/>
        </w:rPr>
        <w:t xml:space="preserve">6 batches/day </w:t>
      </w:r>
      <w:r w:rsidR="0011728A">
        <w:rPr>
          <w:sz w:val="24"/>
          <w:szCs w:val="24"/>
        </w:rPr>
        <w:t>is</w:t>
      </w:r>
      <w:r w:rsidR="00A71C68">
        <w:rPr>
          <w:sz w:val="24"/>
          <w:szCs w:val="24"/>
        </w:rPr>
        <w:t xml:space="preserve"> achievable for the benzaldehyde process. Benzoin and cinnamaldehyde </w:t>
      </w:r>
      <w:r w:rsidR="0025298D">
        <w:rPr>
          <w:sz w:val="24"/>
          <w:szCs w:val="24"/>
        </w:rPr>
        <w:t>are to</w:t>
      </w:r>
      <w:r w:rsidR="00A71C68">
        <w:rPr>
          <w:sz w:val="24"/>
          <w:szCs w:val="24"/>
        </w:rPr>
        <w:t xml:space="preserve"> be operated on the same line at different times of the year. Benzoin was designed as a three-month campaign operating at a rate of 1 batch/day. Cinnamaldehyde was designed to run in between the benzoin campaigns as a one month campaign. </w:t>
      </w:r>
      <w:r w:rsidR="0011728A">
        <w:rPr>
          <w:sz w:val="24"/>
          <w:szCs w:val="24"/>
        </w:rPr>
        <w:t xml:space="preserve">A rate of </w:t>
      </w:r>
      <w:r>
        <w:rPr>
          <w:sz w:val="24"/>
          <w:szCs w:val="24"/>
        </w:rPr>
        <w:t xml:space="preserve">8 batches/day </w:t>
      </w:r>
      <w:r w:rsidR="0011728A">
        <w:rPr>
          <w:sz w:val="24"/>
          <w:szCs w:val="24"/>
        </w:rPr>
        <w:t>is</w:t>
      </w:r>
      <w:r>
        <w:rPr>
          <w:sz w:val="24"/>
          <w:szCs w:val="24"/>
        </w:rPr>
        <w:t xml:space="preserve"> achievable for the cinnamaldehyde process.</w:t>
      </w:r>
    </w:p>
    <w:p w:rsidR="001F479D" w:rsidRDefault="001F479D" w:rsidP="001557CD">
      <w:pPr>
        <w:ind w:firstLine="720"/>
        <w:jc w:val="both"/>
        <w:rPr>
          <w:sz w:val="24"/>
          <w:szCs w:val="24"/>
        </w:rPr>
      </w:pPr>
    </w:p>
    <w:p w:rsidR="00F12357" w:rsidRPr="00F12357" w:rsidRDefault="00F12357" w:rsidP="00F12357">
      <w:pPr>
        <w:ind w:firstLine="720"/>
        <w:jc w:val="both"/>
        <w:rPr>
          <w:sz w:val="24"/>
          <w:szCs w:val="24"/>
        </w:rPr>
      </w:pPr>
      <w:r w:rsidRPr="00F12357">
        <w:rPr>
          <w:sz w:val="24"/>
          <w:szCs w:val="24"/>
        </w:rPr>
        <w:t>Based on a ten-year plant life, the total costs for the benzaldehyde, benzoin, and cinnamaldehyde processes are $8,162,715/y, $4,612,322/y, and $5,567,461/y, respectively. The break</w:t>
      </w:r>
      <w:r w:rsidR="001F479D">
        <w:rPr>
          <w:sz w:val="24"/>
          <w:szCs w:val="24"/>
        </w:rPr>
        <w:t>-</w:t>
      </w:r>
      <w:r w:rsidRPr="00F12357">
        <w:rPr>
          <w:sz w:val="24"/>
          <w:szCs w:val="24"/>
        </w:rPr>
        <w:t xml:space="preserve">even prices for the products benzoin and cinnamaldehyde are $1.84/kg and $11.13/kg, respectively. </w:t>
      </w:r>
    </w:p>
    <w:p w:rsidR="001955BF" w:rsidRDefault="001955BF" w:rsidP="001557CD">
      <w:pPr>
        <w:ind w:firstLine="720"/>
        <w:jc w:val="both"/>
        <w:rPr>
          <w:sz w:val="24"/>
          <w:szCs w:val="24"/>
        </w:rPr>
        <w:sectPr w:rsidR="001955BF" w:rsidSect="007178CE">
          <w:headerReference w:type="default" r:id="rId8"/>
          <w:endnotePr>
            <w:numFmt w:val="decimal"/>
          </w:endnote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1C68" w:rsidRDefault="003D0817" w:rsidP="00F3695A">
      <w:pPr>
        <w:pStyle w:val="Heading1"/>
      </w:pPr>
      <w:bookmarkStart w:id="0" w:name="_Toc260901081"/>
      <w:r>
        <w:lastRenderedPageBreak/>
        <w:t>I. Introduction</w:t>
      </w:r>
      <w:bookmarkEnd w:id="0"/>
    </w:p>
    <w:p w:rsidR="00CF10C6" w:rsidRPr="00CF10C6" w:rsidRDefault="00CF10C6" w:rsidP="00CF10C6">
      <w:pPr>
        <w:rPr>
          <w:lang w:eastAsia="ar-SA"/>
        </w:rPr>
      </w:pPr>
    </w:p>
    <w:p w:rsidR="001557CD" w:rsidRDefault="001557CD" w:rsidP="001557C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Benzaldehyde, benzoin, and cinnamaldehyde have many applications. One of the most common applications of the products is</w:t>
      </w:r>
      <w:r w:rsidR="00E63907">
        <w:rPr>
          <w:sz w:val="24"/>
          <w:szCs w:val="24"/>
        </w:rPr>
        <w:t xml:space="preserve"> as</w:t>
      </w:r>
      <w:r>
        <w:rPr>
          <w:sz w:val="24"/>
          <w:szCs w:val="24"/>
        </w:rPr>
        <w:t xml:space="preserve"> a flavor and fragrance additive. Because of this application, it was desired to produce </w:t>
      </w:r>
      <w:r w:rsidR="008F7AC4">
        <w:rPr>
          <w:sz w:val="24"/>
          <w:szCs w:val="24"/>
        </w:rPr>
        <w:t>food</w:t>
      </w:r>
      <w:r>
        <w:rPr>
          <w:sz w:val="24"/>
          <w:szCs w:val="24"/>
        </w:rPr>
        <w:t xml:space="preserve">-grade benzoin and cinnamaldehyde with purities of at least 99 weight %. </w:t>
      </w:r>
    </w:p>
    <w:p w:rsidR="00951A75" w:rsidRDefault="00D86A04" w:rsidP="001557C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1022A">
        <w:rPr>
          <w:sz w:val="24"/>
          <w:szCs w:val="24"/>
        </w:rPr>
        <w:t xml:space="preserve">The benzaldehyde derivatives processes were to be designed within an existing facility provided by Specialty Batch Products, Inc. Two lines were available as well as several pieces of equipment. </w:t>
      </w:r>
      <w:r w:rsidR="004466FE">
        <w:rPr>
          <w:sz w:val="24"/>
          <w:szCs w:val="24"/>
        </w:rPr>
        <w:t>The design of the processes included th</w:t>
      </w:r>
      <w:r w:rsidR="00951A75">
        <w:rPr>
          <w:sz w:val="24"/>
          <w:szCs w:val="24"/>
        </w:rPr>
        <w:t>o</w:t>
      </w:r>
      <w:r w:rsidR="004466FE">
        <w:rPr>
          <w:sz w:val="24"/>
          <w:szCs w:val="24"/>
        </w:rPr>
        <w:t xml:space="preserve">rough material and energy balances, detailed recipes of each process, design of appropriate equipment, </w:t>
      </w:r>
      <w:r w:rsidR="000E31D1">
        <w:rPr>
          <w:sz w:val="24"/>
          <w:szCs w:val="24"/>
        </w:rPr>
        <w:t xml:space="preserve">a multi-product schedule, and </w:t>
      </w:r>
      <w:r w:rsidR="00B54667">
        <w:rPr>
          <w:sz w:val="24"/>
          <w:szCs w:val="24"/>
        </w:rPr>
        <w:t>an economic analysis.</w:t>
      </w:r>
    </w:p>
    <w:p w:rsidR="001F479D" w:rsidRDefault="001F479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1A75" w:rsidRDefault="00951A75" w:rsidP="00233019">
      <w:pPr>
        <w:pStyle w:val="Heading1"/>
      </w:pPr>
      <w:bookmarkStart w:id="1" w:name="_Toc260901082"/>
      <w:r w:rsidRPr="00951A75">
        <w:lastRenderedPageBreak/>
        <w:t>II. Results</w:t>
      </w:r>
      <w:bookmarkEnd w:id="1"/>
    </w:p>
    <w:p w:rsidR="00951A75" w:rsidRDefault="00951A75" w:rsidP="00233019">
      <w:pPr>
        <w:pStyle w:val="Heading2"/>
      </w:pPr>
      <w:r>
        <w:tab/>
      </w:r>
      <w:bookmarkStart w:id="2" w:name="_Toc260901083"/>
      <w:r>
        <w:t>A. Process Flow Diagram (PFD) and Stream Table</w:t>
      </w:r>
      <w:bookmarkEnd w:id="2"/>
    </w:p>
    <w:p w:rsidR="00532264" w:rsidRDefault="00951A75" w:rsidP="001F479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F75E7">
        <w:rPr>
          <w:sz w:val="24"/>
          <w:szCs w:val="24"/>
        </w:rPr>
        <w:t xml:space="preserve">Figures 1-3 show the PFDs for each process. </w:t>
      </w:r>
    </w:p>
    <w:p w:rsidR="001F479D" w:rsidRDefault="001F479D" w:rsidP="001F479D">
      <w:pPr>
        <w:pStyle w:val="Heading2"/>
        <w:ind w:firstLine="720"/>
      </w:pPr>
      <w:bookmarkStart w:id="3" w:name="_Toc260901084"/>
      <w:r>
        <w:t>B. Multi-Product Schedule</w:t>
      </w:r>
      <w:bookmarkEnd w:id="3"/>
    </w:p>
    <w:p w:rsidR="001F479D" w:rsidRDefault="001F479D" w:rsidP="001F479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Gantt charts were developed for each process based on the detailed recipe designed for each process. The Gantt charts are shown in Figures </w:t>
      </w:r>
      <w:r w:rsidRPr="00324CEF">
        <w:rPr>
          <w:sz w:val="24"/>
          <w:szCs w:val="24"/>
        </w:rPr>
        <w:t>4-6</w:t>
      </w:r>
      <w:r>
        <w:rPr>
          <w:sz w:val="24"/>
          <w:szCs w:val="24"/>
        </w:rPr>
        <w:t xml:space="preserve">. Figure 4 shows the schedule for benzaldehyde to produce 6 batches/day, assuming a 24 h operation. After the first reaction takes place in R-901A, the products are moved to Tk-901 to allow a second batch to be produced in R-901B, a separate reactor for the same reaction. The total times in Tk-901 and R-902 are indicated by the boxes below the schedule, listed as 1.17 h. Therefore, this scheduling allows 6 batches/day to be possible. It should also be noted that the schedule stops before the tower separation, as this is operated as a continuous column. </w:t>
      </w:r>
    </w:p>
    <w:p w:rsidR="001F479D" w:rsidRDefault="001F479D" w:rsidP="001F479D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Figure 5 shows the Gantt chart for benzoin producing 1 batch/day. Because of multiple crystallizations and filtering, the benzoin process takes a much longer time to produce one batch. The total batch time is 23 hours.  </w:t>
      </w:r>
    </w:p>
    <w:p w:rsidR="001F479D" w:rsidRDefault="001F479D" w:rsidP="001F479D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Figure 6 shows the Gantt chart for cinnamaldehyde producing 8 batches/day. Similar to the benzaldehyde process, a hold tank is utilized in the cinnamaldehyde process after the first reactor to allow a second batch to begin in the same reactor immediately after the first batch. This allows for an overlapping schedule similar to benzaldehyde, but unlike benzaldehyde, a second reactor is not necessary. </w:t>
      </w:r>
    </w:p>
    <w:p w:rsidR="001F479D" w:rsidRDefault="001F479D" w:rsidP="001F479D">
      <w:pPr>
        <w:spacing w:line="480" w:lineRule="auto"/>
        <w:jc w:val="both"/>
        <w:rPr>
          <w:sz w:val="24"/>
          <w:szCs w:val="24"/>
        </w:rPr>
      </w:pPr>
    </w:p>
    <w:p w:rsidR="001F479D" w:rsidRDefault="001F479D" w:rsidP="001F479D">
      <w:pPr>
        <w:spacing w:line="480" w:lineRule="auto"/>
        <w:jc w:val="both"/>
        <w:rPr>
          <w:sz w:val="24"/>
          <w:szCs w:val="24"/>
        </w:rPr>
        <w:sectPr w:rsidR="001F479D" w:rsidSect="007178CE">
          <w:headerReference w:type="default" r:id="rId9"/>
          <w:endnotePr>
            <w:numFmt w:val="decimal"/>
          </w:endnotePr>
          <w:pgSz w:w="12240" w:h="15840"/>
          <w:pgMar w:top="1440" w:right="1530" w:bottom="1440" w:left="1440" w:header="720" w:footer="720" w:gutter="0"/>
          <w:pgNumType w:start="1"/>
          <w:cols w:space="720"/>
          <w:docGrid w:linePitch="360"/>
        </w:sectPr>
      </w:pPr>
    </w:p>
    <w:p w:rsidR="00532264" w:rsidRDefault="00C376EB" w:rsidP="00532264">
      <w:r>
        <w:rPr>
          <w:noProof/>
        </w:rPr>
        <w:lastRenderedPageBreak/>
        <w:drawing>
          <wp:inline distT="0" distB="0" distL="0" distR="0">
            <wp:extent cx="8229600" cy="560578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9D" w:rsidRDefault="00532264" w:rsidP="001F479D">
      <w:pPr>
        <w:spacing w:after="200" w:line="276" w:lineRule="auto"/>
        <w:jc w:val="center"/>
        <w:rPr>
          <w:b/>
          <w:sz w:val="24"/>
          <w:szCs w:val="24"/>
        </w:rPr>
      </w:pPr>
      <w:r w:rsidRPr="007E4879">
        <w:rPr>
          <w:b/>
          <w:sz w:val="24"/>
          <w:szCs w:val="24"/>
        </w:rPr>
        <w:t>Figure 1:</w:t>
      </w:r>
      <w:r w:rsidRPr="00C7646A">
        <w:rPr>
          <w:sz w:val="24"/>
          <w:szCs w:val="24"/>
        </w:rPr>
        <w:t xml:space="preserve"> </w:t>
      </w:r>
      <w:r w:rsidRPr="00C7646A">
        <w:rPr>
          <w:b/>
          <w:sz w:val="24"/>
          <w:szCs w:val="24"/>
        </w:rPr>
        <w:t>PFD for Benzaldehyde Production Proces</w:t>
      </w:r>
      <w:r w:rsidR="007E4879">
        <w:rPr>
          <w:b/>
          <w:sz w:val="24"/>
          <w:szCs w:val="24"/>
        </w:rPr>
        <w:t>s</w:t>
      </w:r>
      <w:r w:rsidR="001F479D">
        <w:rPr>
          <w:b/>
          <w:sz w:val="24"/>
          <w:szCs w:val="24"/>
        </w:rPr>
        <w:br w:type="page"/>
      </w:r>
    </w:p>
    <w:p w:rsidR="00532264" w:rsidRDefault="0075633C" w:rsidP="001F47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818664" cy="5574418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035" cy="557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9D" w:rsidRDefault="008128F8" w:rsidP="001F479D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Figure 2: Benzoin PFD</w:t>
      </w:r>
      <w:r w:rsidR="001F479D">
        <w:rPr>
          <w:b/>
          <w:sz w:val="24"/>
          <w:szCs w:val="24"/>
        </w:rPr>
        <w:br w:type="page"/>
      </w:r>
    </w:p>
    <w:p w:rsidR="001F479D" w:rsidRDefault="005B1CEA">
      <w:pPr>
        <w:spacing w:after="200" w:line="276" w:lineRule="auto"/>
        <w:rPr>
          <w:b/>
          <w:sz w:val="24"/>
          <w:szCs w:val="24"/>
        </w:rPr>
      </w:pPr>
      <w:r w:rsidRPr="005B1CEA">
        <w:rPr>
          <w:noProof/>
        </w:rPr>
        <w:lastRenderedPageBreak/>
        <w:drawing>
          <wp:inline distT="0" distB="0" distL="0" distR="0">
            <wp:extent cx="7128510" cy="5232397"/>
            <wp:effectExtent l="19050" t="0" r="0" b="0"/>
            <wp:docPr id="63" name="Picture 62" descr="cinnam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aldehy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515" cy="52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9D" w:rsidRDefault="002378BC" w:rsidP="001F479D">
      <w:pPr>
        <w:spacing w:after="200" w:line="276" w:lineRule="auto"/>
        <w:jc w:val="center"/>
        <w:rPr>
          <w:b/>
          <w:sz w:val="24"/>
          <w:szCs w:val="24"/>
        </w:rPr>
      </w:pPr>
      <w:r w:rsidRPr="00324CEF">
        <w:rPr>
          <w:b/>
          <w:sz w:val="24"/>
          <w:szCs w:val="24"/>
        </w:rPr>
        <w:t xml:space="preserve">Figure </w:t>
      </w:r>
      <w:r w:rsidR="00324CEF">
        <w:rPr>
          <w:b/>
          <w:sz w:val="24"/>
          <w:szCs w:val="24"/>
        </w:rPr>
        <w:t>3</w:t>
      </w:r>
      <w:r w:rsidRPr="00324CEF">
        <w:rPr>
          <w:b/>
          <w:sz w:val="24"/>
          <w:szCs w:val="24"/>
        </w:rPr>
        <w:t>:</w:t>
      </w:r>
      <w:r w:rsidRPr="00324CEF">
        <w:rPr>
          <w:sz w:val="24"/>
          <w:szCs w:val="24"/>
        </w:rPr>
        <w:t xml:space="preserve"> </w:t>
      </w:r>
      <w:r w:rsidRPr="00324CEF">
        <w:rPr>
          <w:b/>
          <w:sz w:val="24"/>
          <w:szCs w:val="24"/>
        </w:rPr>
        <w:t>PFD for Cinnamaldehyde Production Process</w:t>
      </w:r>
      <w:r w:rsidR="001F479D">
        <w:rPr>
          <w:b/>
          <w:sz w:val="24"/>
          <w:szCs w:val="24"/>
        </w:rPr>
        <w:br w:type="page"/>
      </w:r>
    </w:p>
    <w:p w:rsidR="008C7316" w:rsidRDefault="00753B9F" w:rsidP="001F479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left:0;text-align:left;margin-left:185.85pt;margin-top:36.05pt;width:28.5pt;height:8.3pt;flip:y;z-index:251675648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230.55pt;margin-top:62.2pt;width:27.6pt;height:18.4pt;z-index:251674624" filled="f" stroked="f">
            <v:textbox>
              <w:txbxContent>
                <w:p w:rsidR="00CF10C6" w:rsidRPr="00C311DF" w:rsidRDefault="00CF10C6" w:rsidP="003A04C5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C311DF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18" type="#_x0000_t202" style="position:absolute;left:0;text-align:left;margin-left:272.85pt;margin-top:25.95pt;width:27.6pt;height:18.4pt;z-index:251673600" filled="f" stroked="f">
            <v:textbox>
              <w:txbxContent>
                <w:p w:rsidR="00CF10C6" w:rsidRPr="00C311DF" w:rsidRDefault="00CF10C6" w:rsidP="003A04C5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C311DF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 w:rsidRPr="00753B9F">
        <w:rPr>
          <w:b/>
          <w:noProof/>
          <w:sz w:val="24"/>
          <w:szCs w:val="24"/>
        </w:rPr>
        <w:pict>
          <v:shape id="_x0000_s1112" type="#_x0000_t32" style="position:absolute;left:0;text-align:left;margin-left:251.4pt;margin-top:49.4pt;width:13.35pt;height:19.25pt;flip:y;z-index:25166950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17" type="#_x0000_t202" style="position:absolute;left:0;text-align:left;margin-left:225.2pt;margin-top:39.35pt;width:28.45pt;height:18.4pt;z-index:251672576" filled="f" stroked="f">
            <v:textbox style="mso-next-textbox:#_x0000_s1117">
              <w:txbxContent>
                <w:p w:rsidR="00CF10C6" w:rsidRPr="00C311DF" w:rsidRDefault="00CF10C6" w:rsidP="000F55BB">
                  <w:pPr>
                    <w:rPr>
                      <w:b/>
                    </w:rPr>
                  </w:pPr>
                  <w:r w:rsidRPr="00C311DF"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  <w:r w:rsidRPr="00753B9F">
        <w:rPr>
          <w:b/>
          <w:noProof/>
          <w:sz w:val="24"/>
          <w:szCs w:val="24"/>
        </w:rPr>
        <w:pict>
          <v:shape id="_x0000_s1104" type="#_x0000_t202" style="position:absolute;left:0;text-align:left;margin-left:165.65pt;margin-top:36.05pt;width:26.05pt;height:18.4pt;z-index:251663360" filled="f" stroked="f">
            <v:textbox style="mso-next-textbox:#_x0000_s1104">
              <w:txbxContent>
                <w:p w:rsidR="00CF10C6" w:rsidRPr="00C311DF" w:rsidRDefault="00CF10C6">
                  <w:pPr>
                    <w:rPr>
                      <w:b/>
                    </w:rPr>
                  </w:pPr>
                  <w:r w:rsidRPr="00C311DF"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  <w:r w:rsidRPr="00753B9F">
        <w:rPr>
          <w:b/>
          <w:noProof/>
          <w:sz w:val="24"/>
          <w:szCs w:val="24"/>
        </w:rPr>
        <w:pict>
          <v:shape id="_x0000_s1106" type="#_x0000_t202" style="position:absolute;left:0;text-align:left;margin-left:239.4pt;margin-top:25.95pt;width:27.6pt;height:18.4pt;z-index:251665408" filled="f" stroked="f">
            <v:textbox>
              <w:txbxContent>
                <w:p w:rsidR="00CF10C6" w:rsidRPr="00C311DF" w:rsidRDefault="00CF10C6" w:rsidP="00C311DF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C311DF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 w:rsidR="00444A5E" w:rsidRPr="00444A5E">
        <w:rPr>
          <w:noProof/>
          <w:szCs w:val="24"/>
        </w:rPr>
        <w:drawing>
          <wp:inline distT="0" distB="0" distL="0" distR="0">
            <wp:extent cx="8229600" cy="697306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E2" w:rsidRDefault="00874FE2" w:rsidP="008C7316">
      <w:pPr>
        <w:spacing w:line="480" w:lineRule="auto"/>
        <w:jc w:val="center"/>
        <w:rPr>
          <w:sz w:val="24"/>
          <w:szCs w:val="24"/>
        </w:rPr>
      </w:pPr>
    </w:p>
    <w:p w:rsidR="00601FFB" w:rsidRPr="001D3127" w:rsidRDefault="008C7316" w:rsidP="001D3127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Figure 4: Benzaldehyde Gantt Chart</w:t>
      </w:r>
    </w:p>
    <w:p w:rsidR="00601FFB" w:rsidRDefault="00601FFB" w:rsidP="001557C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07305">
        <w:rPr>
          <w:sz w:val="24"/>
          <w:szCs w:val="24"/>
        </w:rPr>
        <w:t xml:space="preserve"> </w:t>
      </w:r>
    </w:p>
    <w:p w:rsidR="00E767DA" w:rsidRDefault="00444A5E" w:rsidP="006D2F79">
      <w:pPr>
        <w:spacing w:line="480" w:lineRule="auto"/>
        <w:jc w:val="center"/>
        <w:rPr>
          <w:sz w:val="24"/>
          <w:szCs w:val="24"/>
        </w:rPr>
      </w:pPr>
      <w:r w:rsidRPr="00444A5E">
        <w:rPr>
          <w:noProof/>
          <w:szCs w:val="24"/>
        </w:rPr>
        <w:drawing>
          <wp:inline distT="0" distB="0" distL="0" distR="0">
            <wp:extent cx="8393430" cy="590291"/>
            <wp:effectExtent l="1905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917" cy="5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27" w:rsidRDefault="00EE18EC" w:rsidP="001D79B9">
      <w:pPr>
        <w:spacing w:line="48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Figure 5: Benzoin Gantt Chart</w:t>
      </w:r>
    </w:p>
    <w:p w:rsidR="006D2F79" w:rsidRDefault="00E767DA" w:rsidP="001557C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D2F79" w:rsidRDefault="006D2F79" w:rsidP="001557CD">
      <w:pPr>
        <w:spacing w:line="480" w:lineRule="auto"/>
        <w:jc w:val="both"/>
        <w:rPr>
          <w:sz w:val="24"/>
          <w:szCs w:val="24"/>
        </w:rPr>
      </w:pPr>
    </w:p>
    <w:p w:rsidR="003075AD" w:rsidRDefault="00444A5E" w:rsidP="00444A5E">
      <w:pPr>
        <w:spacing w:line="480" w:lineRule="auto"/>
        <w:jc w:val="center"/>
        <w:rPr>
          <w:sz w:val="24"/>
          <w:szCs w:val="24"/>
        </w:rPr>
      </w:pPr>
      <w:r w:rsidRPr="00444A5E">
        <w:rPr>
          <w:noProof/>
          <w:szCs w:val="24"/>
        </w:rPr>
        <w:drawing>
          <wp:inline distT="0" distB="0" distL="0" distR="0">
            <wp:extent cx="7943795" cy="871870"/>
            <wp:effectExtent l="19050" t="0" r="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56" cy="87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91" w:rsidRDefault="003075AD" w:rsidP="001F479D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Figure 6: Cinnamaldehyde Gantt Chart</w:t>
      </w:r>
    </w:p>
    <w:sectPr w:rsidR="00AD3A91" w:rsidSect="001F479D">
      <w:endnotePr>
        <w:numFmt w:val="decimal"/>
      </w:endnote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679" w:rsidRDefault="00F12679" w:rsidP="00563057">
      <w:r>
        <w:separator/>
      </w:r>
    </w:p>
  </w:endnote>
  <w:endnote w:type="continuationSeparator" w:id="0">
    <w:p w:rsidR="00F12679" w:rsidRDefault="00F12679" w:rsidP="00563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679" w:rsidRDefault="00F12679" w:rsidP="00563057">
      <w:r>
        <w:separator/>
      </w:r>
    </w:p>
  </w:footnote>
  <w:footnote w:type="continuationSeparator" w:id="0">
    <w:p w:rsidR="00F12679" w:rsidRDefault="00F12679" w:rsidP="005630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0C6" w:rsidRDefault="00CF10C6">
    <w:pPr>
      <w:pStyle w:val="Header"/>
      <w:jc w:val="right"/>
    </w:pPr>
  </w:p>
  <w:p w:rsidR="00CF10C6" w:rsidRDefault="00CF10C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641883"/>
      <w:docPartObj>
        <w:docPartGallery w:val="Page Numbers (Top of Page)"/>
        <w:docPartUnique/>
      </w:docPartObj>
    </w:sdtPr>
    <w:sdtContent>
      <w:p w:rsidR="00CF10C6" w:rsidRDefault="00CF10C6">
        <w:pPr>
          <w:pStyle w:val="Header"/>
          <w:jc w:val="right"/>
        </w:pPr>
        <w:fldSimple w:instr=" PAGE   \* MERGEFORMAT ">
          <w:r w:rsidR="001F479D">
            <w:rPr>
              <w:noProof/>
            </w:rPr>
            <w:t>1</w:t>
          </w:r>
        </w:fldSimple>
      </w:p>
    </w:sdtContent>
  </w:sdt>
  <w:p w:rsidR="00CF10C6" w:rsidRDefault="00CF10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5523"/>
    <w:multiLevelType w:val="hybridMultilevel"/>
    <w:tmpl w:val="CBA4C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A6A48"/>
    <w:multiLevelType w:val="hybridMultilevel"/>
    <w:tmpl w:val="4D4CAF46"/>
    <w:lvl w:ilvl="0" w:tplc="1F92A4AE">
      <w:start w:val="18"/>
      <w:numFmt w:val="bullet"/>
      <w:lvlText w:val=""/>
      <w:lvlJc w:val="left"/>
      <w:pPr>
        <w:ind w:left="16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1E5B39F5"/>
    <w:multiLevelType w:val="hybridMultilevel"/>
    <w:tmpl w:val="1EBEBAEE"/>
    <w:lvl w:ilvl="0" w:tplc="F5FA14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9615B1"/>
    <w:multiLevelType w:val="hybridMultilevel"/>
    <w:tmpl w:val="8FDA4712"/>
    <w:lvl w:ilvl="0" w:tplc="0B04FC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C56908"/>
    <w:multiLevelType w:val="hybridMultilevel"/>
    <w:tmpl w:val="891A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A0784"/>
    <w:multiLevelType w:val="hybridMultilevel"/>
    <w:tmpl w:val="73E450B6"/>
    <w:lvl w:ilvl="0" w:tplc="9B8CF3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7B6FE5"/>
    <w:multiLevelType w:val="hybridMultilevel"/>
    <w:tmpl w:val="251026CE"/>
    <w:lvl w:ilvl="0" w:tplc="00DA00BA">
      <w:start w:val="18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FFB0785"/>
    <w:multiLevelType w:val="hybridMultilevel"/>
    <w:tmpl w:val="4398AB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00"/>
  <w:displayHorizontalDrawingGridEvery w:val="2"/>
  <w:characterSpacingControl w:val="doNotCompress"/>
  <w:hdrShapeDefaults>
    <o:shapedefaults v:ext="edit" spidmax="46082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563057"/>
    <w:rsid w:val="00000D0B"/>
    <w:rsid w:val="00006CE9"/>
    <w:rsid w:val="00011194"/>
    <w:rsid w:val="00015343"/>
    <w:rsid w:val="0001746F"/>
    <w:rsid w:val="000175F9"/>
    <w:rsid w:val="000218B9"/>
    <w:rsid w:val="00022262"/>
    <w:rsid w:val="000222EB"/>
    <w:rsid w:val="00022C28"/>
    <w:rsid w:val="00023616"/>
    <w:rsid w:val="00023DFF"/>
    <w:rsid w:val="000314DC"/>
    <w:rsid w:val="00033096"/>
    <w:rsid w:val="00033B3A"/>
    <w:rsid w:val="00044862"/>
    <w:rsid w:val="00054575"/>
    <w:rsid w:val="000547D9"/>
    <w:rsid w:val="000574F9"/>
    <w:rsid w:val="000661D0"/>
    <w:rsid w:val="000904C1"/>
    <w:rsid w:val="00092577"/>
    <w:rsid w:val="000A109F"/>
    <w:rsid w:val="000A63F2"/>
    <w:rsid w:val="000B1219"/>
    <w:rsid w:val="000B1768"/>
    <w:rsid w:val="000B3C81"/>
    <w:rsid w:val="000B4F7B"/>
    <w:rsid w:val="000B6C33"/>
    <w:rsid w:val="000C16C4"/>
    <w:rsid w:val="000C1C92"/>
    <w:rsid w:val="000C5E20"/>
    <w:rsid w:val="000D1A21"/>
    <w:rsid w:val="000D2761"/>
    <w:rsid w:val="000D7A42"/>
    <w:rsid w:val="000E26FB"/>
    <w:rsid w:val="000E31D1"/>
    <w:rsid w:val="000E7A54"/>
    <w:rsid w:val="000F55BB"/>
    <w:rsid w:val="000F6F01"/>
    <w:rsid w:val="00102E1F"/>
    <w:rsid w:val="00107020"/>
    <w:rsid w:val="00113FC1"/>
    <w:rsid w:val="0011728A"/>
    <w:rsid w:val="001205D3"/>
    <w:rsid w:val="001269B4"/>
    <w:rsid w:val="00131767"/>
    <w:rsid w:val="00140FBC"/>
    <w:rsid w:val="00141A90"/>
    <w:rsid w:val="00142226"/>
    <w:rsid w:val="00154A62"/>
    <w:rsid w:val="001557CD"/>
    <w:rsid w:val="00160143"/>
    <w:rsid w:val="00167013"/>
    <w:rsid w:val="0017030C"/>
    <w:rsid w:val="00172A66"/>
    <w:rsid w:val="001764FB"/>
    <w:rsid w:val="00181EA5"/>
    <w:rsid w:val="0018332C"/>
    <w:rsid w:val="0018647C"/>
    <w:rsid w:val="001900AC"/>
    <w:rsid w:val="001927A5"/>
    <w:rsid w:val="00194860"/>
    <w:rsid w:val="001955BF"/>
    <w:rsid w:val="00197F20"/>
    <w:rsid w:val="001A102E"/>
    <w:rsid w:val="001A1713"/>
    <w:rsid w:val="001A17D9"/>
    <w:rsid w:val="001A5353"/>
    <w:rsid w:val="001A7C2D"/>
    <w:rsid w:val="001B1587"/>
    <w:rsid w:val="001B5AFE"/>
    <w:rsid w:val="001B6949"/>
    <w:rsid w:val="001C0398"/>
    <w:rsid w:val="001C0480"/>
    <w:rsid w:val="001D0281"/>
    <w:rsid w:val="001D3127"/>
    <w:rsid w:val="001D6A01"/>
    <w:rsid w:val="001D79B9"/>
    <w:rsid w:val="001E04C5"/>
    <w:rsid w:val="001E38EE"/>
    <w:rsid w:val="001E68EB"/>
    <w:rsid w:val="001F479D"/>
    <w:rsid w:val="001F70BF"/>
    <w:rsid w:val="002102A3"/>
    <w:rsid w:val="00210E28"/>
    <w:rsid w:val="00214ED0"/>
    <w:rsid w:val="00223927"/>
    <w:rsid w:val="00227E11"/>
    <w:rsid w:val="00233019"/>
    <w:rsid w:val="002378BC"/>
    <w:rsid w:val="002400CE"/>
    <w:rsid w:val="002414A9"/>
    <w:rsid w:val="0025140D"/>
    <w:rsid w:val="0025298D"/>
    <w:rsid w:val="002574E0"/>
    <w:rsid w:val="002577BF"/>
    <w:rsid w:val="00257AB9"/>
    <w:rsid w:val="00260AFF"/>
    <w:rsid w:val="00265C17"/>
    <w:rsid w:val="002664C0"/>
    <w:rsid w:val="00266688"/>
    <w:rsid w:val="00273C46"/>
    <w:rsid w:val="0027651D"/>
    <w:rsid w:val="002810CE"/>
    <w:rsid w:val="002837DD"/>
    <w:rsid w:val="00290552"/>
    <w:rsid w:val="0029192E"/>
    <w:rsid w:val="002943CA"/>
    <w:rsid w:val="002A6AD8"/>
    <w:rsid w:val="002B161E"/>
    <w:rsid w:val="002B258E"/>
    <w:rsid w:val="002C3E77"/>
    <w:rsid w:val="002D44AB"/>
    <w:rsid w:val="002D4AA3"/>
    <w:rsid w:val="002D5E45"/>
    <w:rsid w:val="002D7DAB"/>
    <w:rsid w:val="002E22EE"/>
    <w:rsid w:val="002E28C2"/>
    <w:rsid w:val="002E3349"/>
    <w:rsid w:val="002E3B62"/>
    <w:rsid w:val="002F1439"/>
    <w:rsid w:val="002F1B17"/>
    <w:rsid w:val="002F1ED3"/>
    <w:rsid w:val="002F60EF"/>
    <w:rsid w:val="00305703"/>
    <w:rsid w:val="00306D11"/>
    <w:rsid w:val="003075AD"/>
    <w:rsid w:val="003110A1"/>
    <w:rsid w:val="003130E4"/>
    <w:rsid w:val="00313C65"/>
    <w:rsid w:val="00315F69"/>
    <w:rsid w:val="00316899"/>
    <w:rsid w:val="00322CB4"/>
    <w:rsid w:val="00324CEF"/>
    <w:rsid w:val="00344305"/>
    <w:rsid w:val="0034774C"/>
    <w:rsid w:val="003504ED"/>
    <w:rsid w:val="00354649"/>
    <w:rsid w:val="00354A28"/>
    <w:rsid w:val="00354D76"/>
    <w:rsid w:val="00357E47"/>
    <w:rsid w:val="003602FE"/>
    <w:rsid w:val="00363003"/>
    <w:rsid w:val="00363BC1"/>
    <w:rsid w:val="00370286"/>
    <w:rsid w:val="00371F0E"/>
    <w:rsid w:val="003744C4"/>
    <w:rsid w:val="00382310"/>
    <w:rsid w:val="00387F29"/>
    <w:rsid w:val="003917DF"/>
    <w:rsid w:val="003A04C5"/>
    <w:rsid w:val="003A3947"/>
    <w:rsid w:val="003B240B"/>
    <w:rsid w:val="003B7103"/>
    <w:rsid w:val="003B7B1D"/>
    <w:rsid w:val="003C2E60"/>
    <w:rsid w:val="003C4786"/>
    <w:rsid w:val="003C5597"/>
    <w:rsid w:val="003C76B9"/>
    <w:rsid w:val="003D0817"/>
    <w:rsid w:val="003D1AFD"/>
    <w:rsid w:val="003D1BBC"/>
    <w:rsid w:val="003D3937"/>
    <w:rsid w:val="003D42AC"/>
    <w:rsid w:val="003E07CB"/>
    <w:rsid w:val="003E74DA"/>
    <w:rsid w:val="0040129C"/>
    <w:rsid w:val="004134C7"/>
    <w:rsid w:val="00414F30"/>
    <w:rsid w:val="0041719C"/>
    <w:rsid w:val="00417F6A"/>
    <w:rsid w:val="00422BCE"/>
    <w:rsid w:val="00427599"/>
    <w:rsid w:val="0043735A"/>
    <w:rsid w:val="004379A9"/>
    <w:rsid w:val="00444A5E"/>
    <w:rsid w:val="004466FE"/>
    <w:rsid w:val="00447A61"/>
    <w:rsid w:val="00452894"/>
    <w:rsid w:val="00456888"/>
    <w:rsid w:val="00456CDD"/>
    <w:rsid w:val="00457A1F"/>
    <w:rsid w:val="00461DA5"/>
    <w:rsid w:val="00475172"/>
    <w:rsid w:val="0047774A"/>
    <w:rsid w:val="00493AF0"/>
    <w:rsid w:val="004956CA"/>
    <w:rsid w:val="004A2EBE"/>
    <w:rsid w:val="004B193E"/>
    <w:rsid w:val="004B29A5"/>
    <w:rsid w:val="004B3312"/>
    <w:rsid w:val="004B4803"/>
    <w:rsid w:val="004B67E5"/>
    <w:rsid w:val="004C020B"/>
    <w:rsid w:val="004C3D63"/>
    <w:rsid w:val="004C3EB1"/>
    <w:rsid w:val="004D576A"/>
    <w:rsid w:val="004E076A"/>
    <w:rsid w:val="004E36E8"/>
    <w:rsid w:val="005068D0"/>
    <w:rsid w:val="00507BD2"/>
    <w:rsid w:val="0051022A"/>
    <w:rsid w:val="005142C4"/>
    <w:rsid w:val="00514884"/>
    <w:rsid w:val="0052017C"/>
    <w:rsid w:val="00531F1A"/>
    <w:rsid w:val="00532264"/>
    <w:rsid w:val="00535A3F"/>
    <w:rsid w:val="00553768"/>
    <w:rsid w:val="005564E4"/>
    <w:rsid w:val="00556EE3"/>
    <w:rsid w:val="00557F58"/>
    <w:rsid w:val="0056082A"/>
    <w:rsid w:val="00561E00"/>
    <w:rsid w:val="00562C6B"/>
    <w:rsid w:val="00563057"/>
    <w:rsid w:val="005631B3"/>
    <w:rsid w:val="00566D13"/>
    <w:rsid w:val="00574A5E"/>
    <w:rsid w:val="00574AD6"/>
    <w:rsid w:val="005752F1"/>
    <w:rsid w:val="005A513B"/>
    <w:rsid w:val="005A7E81"/>
    <w:rsid w:val="005B1CEA"/>
    <w:rsid w:val="005B27D0"/>
    <w:rsid w:val="005B4B2E"/>
    <w:rsid w:val="005B72B3"/>
    <w:rsid w:val="005C6C05"/>
    <w:rsid w:val="005D256D"/>
    <w:rsid w:val="005D3096"/>
    <w:rsid w:val="005D716C"/>
    <w:rsid w:val="005E387D"/>
    <w:rsid w:val="005E586E"/>
    <w:rsid w:val="006004EE"/>
    <w:rsid w:val="00601FFB"/>
    <w:rsid w:val="006021EC"/>
    <w:rsid w:val="0060333B"/>
    <w:rsid w:val="00612A97"/>
    <w:rsid w:val="006138CE"/>
    <w:rsid w:val="00617B94"/>
    <w:rsid w:val="00625FC5"/>
    <w:rsid w:val="00630230"/>
    <w:rsid w:val="00630CCE"/>
    <w:rsid w:val="0063624C"/>
    <w:rsid w:val="00637B2C"/>
    <w:rsid w:val="00641D40"/>
    <w:rsid w:val="00642D32"/>
    <w:rsid w:val="00644132"/>
    <w:rsid w:val="006464FE"/>
    <w:rsid w:val="006518C5"/>
    <w:rsid w:val="00654C72"/>
    <w:rsid w:val="00655265"/>
    <w:rsid w:val="00655D73"/>
    <w:rsid w:val="0065681D"/>
    <w:rsid w:val="00660E96"/>
    <w:rsid w:val="00665543"/>
    <w:rsid w:val="00680A7E"/>
    <w:rsid w:val="0068157E"/>
    <w:rsid w:val="006837BF"/>
    <w:rsid w:val="00684FA2"/>
    <w:rsid w:val="00685A0B"/>
    <w:rsid w:val="00692439"/>
    <w:rsid w:val="006940F7"/>
    <w:rsid w:val="00694D53"/>
    <w:rsid w:val="006A225D"/>
    <w:rsid w:val="006B63F7"/>
    <w:rsid w:val="006B6FF5"/>
    <w:rsid w:val="006C67FE"/>
    <w:rsid w:val="006D2F79"/>
    <w:rsid w:val="006D500F"/>
    <w:rsid w:val="006E029A"/>
    <w:rsid w:val="006E0F50"/>
    <w:rsid w:val="006E4CCA"/>
    <w:rsid w:val="006E7E08"/>
    <w:rsid w:val="0070107C"/>
    <w:rsid w:val="00702EE9"/>
    <w:rsid w:val="0070515D"/>
    <w:rsid w:val="00705874"/>
    <w:rsid w:val="00712018"/>
    <w:rsid w:val="007178CE"/>
    <w:rsid w:val="00724061"/>
    <w:rsid w:val="00734EE0"/>
    <w:rsid w:val="00743931"/>
    <w:rsid w:val="00743C94"/>
    <w:rsid w:val="00750C00"/>
    <w:rsid w:val="00753B9F"/>
    <w:rsid w:val="007545A1"/>
    <w:rsid w:val="0075633C"/>
    <w:rsid w:val="00760A49"/>
    <w:rsid w:val="00761C5E"/>
    <w:rsid w:val="007865E5"/>
    <w:rsid w:val="007900DA"/>
    <w:rsid w:val="00794196"/>
    <w:rsid w:val="00797848"/>
    <w:rsid w:val="007A6AD5"/>
    <w:rsid w:val="007B0546"/>
    <w:rsid w:val="007B2E2F"/>
    <w:rsid w:val="007B5F59"/>
    <w:rsid w:val="007C7341"/>
    <w:rsid w:val="007D6310"/>
    <w:rsid w:val="007E4879"/>
    <w:rsid w:val="007F10C5"/>
    <w:rsid w:val="007F350D"/>
    <w:rsid w:val="007F3C11"/>
    <w:rsid w:val="008128F8"/>
    <w:rsid w:val="00823FCC"/>
    <w:rsid w:val="008412A4"/>
    <w:rsid w:val="0084585B"/>
    <w:rsid w:val="00855EA5"/>
    <w:rsid w:val="0085660A"/>
    <w:rsid w:val="008671A2"/>
    <w:rsid w:val="00871A05"/>
    <w:rsid w:val="00874FE2"/>
    <w:rsid w:val="0088353E"/>
    <w:rsid w:val="00884F92"/>
    <w:rsid w:val="00887FB3"/>
    <w:rsid w:val="00891F15"/>
    <w:rsid w:val="00894A93"/>
    <w:rsid w:val="008C420F"/>
    <w:rsid w:val="008C539E"/>
    <w:rsid w:val="008C7316"/>
    <w:rsid w:val="008C76C1"/>
    <w:rsid w:val="008D5107"/>
    <w:rsid w:val="008D69FD"/>
    <w:rsid w:val="008E0002"/>
    <w:rsid w:val="008E1DF9"/>
    <w:rsid w:val="008E273D"/>
    <w:rsid w:val="008E47C1"/>
    <w:rsid w:val="008E61F8"/>
    <w:rsid w:val="008F7AC4"/>
    <w:rsid w:val="00904283"/>
    <w:rsid w:val="00915F3B"/>
    <w:rsid w:val="00935AAC"/>
    <w:rsid w:val="00940B3D"/>
    <w:rsid w:val="00946ACC"/>
    <w:rsid w:val="00951A75"/>
    <w:rsid w:val="00955268"/>
    <w:rsid w:val="009571F4"/>
    <w:rsid w:val="00964840"/>
    <w:rsid w:val="0098198B"/>
    <w:rsid w:val="00982223"/>
    <w:rsid w:val="0098382B"/>
    <w:rsid w:val="00995C2B"/>
    <w:rsid w:val="009A2936"/>
    <w:rsid w:val="009B3526"/>
    <w:rsid w:val="009F0C62"/>
    <w:rsid w:val="009F6B9D"/>
    <w:rsid w:val="00A07305"/>
    <w:rsid w:val="00A07978"/>
    <w:rsid w:val="00A10AF1"/>
    <w:rsid w:val="00A15166"/>
    <w:rsid w:val="00A230B0"/>
    <w:rsid w:val="00A230B9"/>
    <w:rsid w:val="00A2490B"/>
    <w:rsid w:val="00A26992"/>
    <w:rsid w:val="00A326D7"/>
    <w:rsid w:val="00A41F3E"/>
    <w:rsid w:val="00A44502"/>
    <w:rsid w:val="00A46834"/>
    <w:rsid w:val="00A603A7"/>
    <w:rsid w:val="00A61722"/>
    <w:rsid w:val="00A64D02"/>
    <w:rsid w:val="00A65A09"/>
    <w:rsid w:val="00A65D39"/>
    <w:rsid w:val="00A71C68"/>
    <w:rsid w:val="00A7276E"/>
    <w:rsid w:val="00A80DA4"/>
    <w:rsid w:val="00A8429E"/>
    <w:rsid w:val="00A85BA9"/>
    <w:rsid w:val="00A9021F"/>
    <w:rsid w:val="00A94FDC"/>
    <w:rsid w:val="00AA132B"/>
    <w:rsid w:val="00AA365D"/>
    <w:rsid w:val="00AA65CF"/>
    <w:rsid w:val="00AA69B4"/>
    <w:rsid w:val="00AC6519"/>
    <w:rsid w:val="00AD00DE"/>
    <w:rsid w:val="00AD2327"/>
    <w:rsid w:val="00AD3A91"/>
    <w:rsid w:val="00AE06DB"/>
    <w:rsid w:val="00AE1A26"/>
    <w:rsid w:val="00AE1AFC"/>
    <w:rsid w:val="00AE6BE0"/>
    <w:rsid w:val="00AF2B0F"/>
    <w:rsid w:val="00AF4FDD"/>
    <w:rsid w:val="00AF5ECB"/>
    <w:rsid w:val="00B10386"/>
    <w:rsid w:val="00B21CC4"/>
    <w:rsid w:val="00B23C00"/>
    <w:rsid w:val="00B27D8B"/>
    <w:rsid w:val="00B34ADD"/>
    <w:rsid w:val="00B36B8F"/>
    <w:rsid w:val="00B36BE0"/>
    <w:rsid w:val="00B4715B"/>
    <w:rsid w:val="00B54667"/>
    <w:rsid w:val="00B54BA9"/>
    <w:rsid w:val="00B56021"/>
    <w:rsid w:val="00B62263"/>
    <w:rsid w:val="00B67A0C"/>
    <w:rsid w:val="00B7792D"/>
    <w:rsid w:val="00B81F28"/>
    <w:rsid w:val="00B827A5"/>
    <w:rsid w:val="00B83497"/>
    <w:rsid w:val="00B85BF7"/>
    <w:rsid w:val="00B90535"/>
    <w:rsid w:val="00B965E8"/>
    <w:rsid w:val="00BA5F95"/>
    <w:rsid w:val="00BC4F65"/>
    <w:rsid w:val="00BD6E0B"/>
    <w:rsid w:val="00BE3FDC"/>
    <w:rsid w:val="00C05697"/>
    <w:rsid w:val="00C100D6"/>
    <w:rsid w:val="00C133A4"/>
    <w:rsid w:val="00C14D54"/>
    <w:rsid w:val="00C311DF"/>
    <w:rsid w:val="00C31726"/>
    <w:rsid w:val="00C369E6"/>
    <w:rsid w:val="00C376EB"/>
    <w:rsid w:val="00C37858"/>
    <w:rsid w:val="00C42887"/>
    <w:rsid w:val="00C42AF6"/>
    <w:rsid w:val="00C45F54"/>
    <w:rsid w:val="00C50ED2"/>
    <w:rsid w:val="00C5120D"/>
    <w:rsid w:val="00C52506"/>
    <w:rsid w:val="00C576F0"/>
    <w:rsid w:val="00C65C38"/>
    <w:rsid w:val="00C65CC0"/>
    <w:rsid w:val="00C675A1"/>
    <w:rsid w:val="00C74576"/>
    <w:rsid w:val="00C7646A"/>
    <w:rsid w:val="00C77A3D"/>
    <w:rsid w:val="00C80D19"/>
    <w:rsid w:val="00C81016"/>
    <w:rsid w:val="00C93F68"/>
    <w:rsid w:val="00CA1C2C"/>
    <w:rsid w:val="00CA7ADF"/>
    <w:rsid w:val="00CB67B6"/>
    <w:rsid w:val="00CB7F9C"/>
    <w:rsid w:val="00CF10C6"/>
    <w:rsid w:val="00CF2E1F"/>
    <w:rsid w:val="00CF3AE2"/>
    <w:rsid w:val="00CF5F95"/>
    <w:rsid w:val="00CF6817"/>
    <w:rsid w:val="00D02B44"/>
    <w:rsid w:val="00D1126D"/>
    <w:rsid w:val="00D115BF"/>
    <w:rsid w:val="00D115D3"/>
    <w:rsid w:val="00D1745E"/>
    <w:rsid w:val="00D2057F"/>
    <w:rsid w:val="00D208A5"/>
    <w:rsid w:val="00D226A6"/>
    <w:rsid w:val="00D2493E"/>
    <w:rsid w:val="00D24B33"/>
    <w:rsid w:val="00D26C78"/>
    <w:rsid w:val="00D2706A"/>
    <w:rsid w:val="00D322F6"/>
    <w:rsid w:val="00D366E3"/>
    <w:rsid w:val="00D41410"/>
    <w:rsid w:val="00D431B6"/>
    <w:rsid w:val="00D466BA"/>
    <w:rsid w:val="00D5283D"/>
    <w:rsid w:val="00D57425"/>
    <w:rsid w:val="00D65316"/>
    <w:rsid w:val="00D65558"/>
    <w:rsid w:val="00D70772"/>
    <w:rsid w:val="00D730E8"/>
    <w:rsid w:val="00D74B60"/>
    <w:rsid w:val="00D74D96"/>
    <w:rsid w:val="00D76240"/>
    <w:rsid w:val="00D76D79"/>
    <w:rsid w:val="00D778C6"/>
    <w:rsid w:val="00D86A04"/>
    <w:rsid w:val="00D9055D"/>
    <w:rsid w:val="00D97BE8"/>
    <w:rsid w:val="00DA1484"/>
    <w:rsid w:val="00DA22A1"/>
    <w:rsid w:val="00DA65F8"/>
    <w:rsid w:val="00DB67BA"/>
    <w:rsid w:val="00DB6C43"/>
    <w:rsid w:val="00DC6E6E"/>
    <w:rsid w:val="00DC7C26"/>
    <w:rsid w:val="00DD02C2"/>
    <w:rsid w:val="00DD1D6F"/>
    <w:rsid w:val="00DD60CD"/>
    <w:rsid w:val="00DF1588"/>
    <w:rsid w:val="00DF35F6"/>
    <w:rsid w:val="00DF3C9A"/>
    <w:rsid w:val="00DF3DB8"/>
    <w:rsid w:val="00DF533E"/>
    <w:rsid w:val="00DF5D10"/>
    <w:rsid w:val="00E02705"/>
    <w:rsid w:val="00E10986"/>
    <w:rsid w:val="00E13BE0"/>
    <w:rsid w:val="00E13F7E"/>
    <w:rsid w:val="00E238EE"/>
    <w:rsid w:val="00E2419C"/>
    <w:rsid w:val="00E3287F"/>
    <w:rsid w:val="00E3540F"/>
    <w:rsid w:val="00E37C46"/>
    <w:rsid w:val="00E42D4A"/>
    <w:rsid w:val="00E50769"/>
    <w:rsid w:val="00E51CD5"/>
    <w:rsid w:val="00E55DA9"/>
    <w:rsid w:val="00E61A5F"/>
    <w:rsid w:val="00E63907"/>
    <w:rsid w:val="00E72C08"/>
    <w:rsid w:val="00E767DA"/>
    <w:rsid w:val="00E83F90"/>
    <w:rsid w:val="00E86F10"/>
    <w:rsid w:val="00E87C95"/>
    <w:rsid w:val="00E91074"/>
    <w:rsid w:val="00E94D5F"/>
    <w:rsid w:val="00EA2819"/>
    <w:rsid w:val="00EC0B3A"/>
    <w:rsid w:val="00EC73C8"/>
    <w:rsid w:val="00EE06AD"/>
    <w:rsid w:val="00EE18EC"/>
    <w:rsid w:val="00EE7547"/>
    <w:rsid w:val="00EF55C6"/>
    <w:rsid w:val="00F02B3A"/>
    <w:rsid w:val="00F06432"/>
    <w:rsid w:val="00F12357"/>
    <w:rsid w:val="00F12679"/>
    <w:rsid w:val="00F146B9"/>
    <w:rsid w:val="00F2014C"/>
    <w:rsid w:val="00F23C20"/>
    <w:rsid w:val="00F3695A"/>
    <w:rsid w:val="00F47920"/>
    <w:rsid w:val="00F53B61"/>
    <w:rsid w:val="00F55A1F"/>
    <w:rsid w:val="00F618B7"/>
    <w:rsid w:val="00F63C29"/>
    <w:rsid w:val="00F711BD"/>
    <w:rsid w:val="00F81F3C"/>
    <w:rsid w:val="00F87E68"/>
    <w:rsid w:val="00F913AC"/>
    <w:rsid w:val="00F940EB"/>
    <w:rsid w:val="00F9624B"/>
    <w:rsid w:val="00FA0AA2"/>
    <w:rsid w:val="00FA286D"/>
    <w:rsid w:val="00FA4499"/>
    <w:rsid w:val="00FA67A3"/>
    <w:rsid w:val="00FB043E"/>
    <w:rsid w:val="00FB62AE"/>
    <w:rsid w:val="00FC2AB6"/>
    <w:rsid w:val="00FC46F8"/>
    <w:rsid w:val="00FC5A7D"/>
    <w:rsid w:val="00FD1BE3"/>
    <w:rsid w:val="00FD7568"/>
    <w:rsid w:val="00FE0C6D"/>
    <w:rsid w:val="00FE2F3B"/>
    <w:rsid w:val="00FF09EF"/>
    <w:rsid w:val="00FF6994"/>
    <w:rsid w:val="00FF75E7"/>
    <w:rsid w:val="00FF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" strokecolor="none"/>
    </o:shapedefaults>
    <o:shapelayout v:ext="edit">
      <o:idmap v:ext="edit" data="1"/>
      <o:rules v:ext="edit">
        <o:r id="V:Rule11" type="connector" idref="#_x0000_s1120"/>
        <o:r id="V:Rule16" type="connector" idref="#_x0000_s11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057"/>
    <w:pPr>
      <w:spacing w:after="0" w:line="240" w:lineRule="auto"/>
    </w:pPr>
    <w:rPr>
      <w:rFonts w:eastAsia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3695A"/>
    <w:pPr>
      <w:keepNext/>
      <w:keepLines/>
      <w:tabs>
        <w:tab w:val="left" w:pos="360"/>
        <w:tab w:val="left" w:pos="720"/>
        <w:tab w:val="left" w:pos="1080"/>
        <w:tab w:val="left" w:pos="1440"/>
      </w:tabs>
      <w:suppressAutoHyphens/>
      <w:spacing w:before="480"/>
      <w:jc w:val="both"/>
      <w:outlineLvl w:val="0"/>
    </w:pPr>
    <w:rPr>
      <w:rFonts w:eastAsiaTheme="majorEastAsia" w:cstheme="majorBidi"/>
      <w:b/>
      <w:bCs/>
      <w:kern w:val="1"/>
      <w:sz w:val="24"/>
      <w:szCs w:val="28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019"/>
    <w:pPr>
      <w:keepNext/>
      <w:keepLines/>
      <w:spacing w:before="20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5F3B"/>
    <w:pPr>
      <w:keepNext/>
      <w:keepLines/>
      <w:spacing w:before="200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057"/>
    <w:pPr>
      <w:tabs>
        <w:tab w:val="center" w:pos="4680"/>
        <w:tab w:val="right" w:pos="9360"/>
      </w:tabs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63057"/>
  </w:style>
  <w:style w:type="paragraph" w:styleId="Footer">
    <w:name w:val="footer"/>
    <w:basedOn w:val="Normal"/>
    <w:link w:val="FooterChar"/>
    <w:uiPriority w:val="99"/>
    <w:semiHidden/>
    <w:unhideWhenUsed/>
    <w:rsid w:val="00563057"/>
    <w:pPr>
      <w:tabs>
        <w:tab w:val="center" w:pos="4680"/>
        <w:tab w:val="right" w:pos="9360"/>
      </w:tabs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63057"/>
  </w:style>
  <w:style w:type="paragraph" w:styleId="BalloonText">
    <w:name w:val="Balloon Text"/>
    <w:basedOn w:val="Normal"/>
    <w:link w:val="BalloonTextChar"/>
    <w:uiPriority w:val="99"/>
    <w:semiHidden/>
    <w:unhideWhenUsed/>
    <w:rsid w:val="0056305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0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0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12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3695A"/>
    <w:rPr>
      <w:rFonts w:eastAsiaTheme="majorEastAsia" w:cstheme="majorBidi"/>
      <w:b/>
      <w:bCs/>
      <w:kern w:val="1"/>
      <w:szCs w:val="28"/>
      <w:u w:val="single"/>
      <w:lang w:eastAsia="ar-SA"/>
    </w:rPr>
  </w:style>
  <w:style w:type="character" w:styleId="EndnoteReference">
    <w:name w:val="endnote reference"/>
    <w:basedOn w:val="DefaultParagraphFont"/>
    <w:uiPriority w:val="99"/>
    <w:rsid w:val="00AD2327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AD2327"/>
    <w:pPr>
      <w:spacing w:after="200" w:line="276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AD2327"/>
    <w:rPr>
      <w:rFonts w:eastAsia="Times New Roman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AD2327"/>
    <w:pPr>
      <w:numPr>
        <w:ilvl w:val="1"/>
      </w:numPr>
      <w:tabs>
        <w:tab w:val="left" w:pos="360"/>
        <w:tab w:val="left" w:pos="720"/>
        <w:tab w:val="left" w:pos="1080"/>
        <w:tab w:val="left" w:pos="1440"/>
      </w:tabs>
      <w:suppressAutoHyphens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1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AD2327"/>
    <w:rPr>
      <w:rFonts w:asciiTheme="majorHAnsi" w:eastAsiaTheme="majorEastAsia" w:hAnsiTheme="majorHAnsi" w:cstheme="majorBidi"/>
      <w:i/>
      <w:iCs/>
      <w:color w:val="4F81BD" w:themeColor="accent1"/>
      <w:spacing w:val="15"/>
      <w:kern w:val="1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233019"/>
    <w:rPr>
      <w:rFonts w:eastAsiaTheme="majorEastAsia" w:cstheme="majorBidi"/>
      <w:b/>
      <w:bCs/>
      <w:szCs w:val="26"/>
    </w:rPr>
  </w:style>
  <w:style w:type="character" w:styleId="Hyperlink">
    <w:name w:val="Hyperlink"/>
    <w:basedOn w:val="DefaultParagraphFont"/>
    <w:uiPriority w:val="99"/>
    <w:unhideWhenUsed/>
    <w:rsid w:val="00C14D5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15F3B"/>
    <w:rPr>
      <w:rFonts w:eastAsiaTheme="majorEastAsia" w:cstheme="majorBidi"/>
      <w:b/>
      <w:bCs/>
      <w:szCs w:val="20"/>
    </w:rPr>
  </w:style>
  <w:style w:type="character" w:styleId="PlaceholderText">
    <w:name w:val="Placeholder Text"/>
    <w:basedOn w:val="DefaultParagraphFont"/>
    <w:uiPriority w:val="99"/>
    <w:semiHidden/>
    <w:rsid w:val="007B054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E63907"/>
    <w:pPr>
      <w:tabs>
        <w:tab w:val="clear" w:pos="360"/>
        <w:tab w:val="clear" w:pos="720"/>
        <w:tab w:val="clear" w:pos="1080"/>
        <w:tab w:val="clear" w:pos="1440"/>
      </w:tabs>
      <w:suppressAutoHyphens w:val="0"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kern w:val="0"/>
      <w:sz w:val="28"/>
      <w:u w:val="none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639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6390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E63907"/>
    <w:pPr>
      <w:spacing w:after="100"/>
      <w:ind w:left="400"/>
    </w:pPr>
  </w:style>
  <w:style w:type="paragraph" w:customStyle="1" w:styleId="gtxtbody">
    <w:name w:val="gtxt_body"/>
    <w:basedOn w:val="Normal"/>
    <w:rsid w:val="00102E1F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itationbook">
    <w:name w:val="citation book"/>
    <w:basedOn w:val="DefaultParagraphFont"/>
    <w:rsid w:val="00113FC1"/>
  </w:style>
  <w:style w:type="character" w:customStyle="1" w:styleId="z3988">
    <w:name w:val="z3988"/>
    <w:basedOn w:val="DefaultParagraphFont"/>
    <w:rsid w:val="00113FC1"/>
  </w:style>
  <w:style w:type="character" w:styleId="CommentReference">
    <w:name w:val="annotation reference"/>
    <w:basedOn w:val="DefaultParagraphFont"/>
    <w:uiPriority w:val="99"/>
    <w:semiHidden/>
    <w:unhideWhenUsed/>
    <w:rsid w:val="00561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1E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1E00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1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E00"/>
    <w:rPr>
      <w:rFonts w:eastAsia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47920"/>
    <w:pPr>
      <w:spacing w:after="0" w:line="240" w:lineRule="auto"/>
    </w:pPr>
    <w:rPr>
      <w:rFonts w:eastAsia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77B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77BF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77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FB079-ADE2-4661-A92C-7B22B01A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Sladky</dc:creator>
  <cp:lastModifiedBy> Joe Shaeiwitz</cp:lastModifiedBy>
  <cp:revision>3</cp:revision>
  <cp:lastPrinted>2010-05-06T14:43:00Z</cp:lastPrinted>
  <dcterms:created xsi:type="dcterms:W3CDTF">2010-05-06T14:42:00Z</dcterms:created>
  <dcterms:modified xsi:type="dcterms:W3CDTF">2010-05-06T14:56:00Z</dcterms:modified>
</cp:coreProperties>
</file>